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9529D" w14:textId="614B69B4" w:rsidR="001E1C92" w:rsidRDefault="001E1C92" w:rsidP="001E1C92">
      <w:pPr>
        <w:jc w:val="both"/>
        <w:rPr>
          <w:b/>
          <w:bCs/>
          <w:u w:val="single"/>
        </w:rPr>
      </w:pPr>
      <w:r w:rsidRPr="009D7324">
        <w:rPr>
          <w:b/>
          <w:bCs/>
          <w:u w:val="single"/>
        </w:rPr>
        <w:t>Table 1</w:t>
      </w:r>
      <w:r>
        <w:rPr>
          <w:b/>
          <w:bCs/>
          <w:u w:val="single"/>
        </w:rPr>
        <w:t>.</w:t>
      </w:r>
      <w:r w:rsidRPr="009D7324">
        <w:rPr>
          <w:b/>
          <w:bCs/>
          <w:u w:val="single"/>
        </w:rPr>
        <w:t xml:space="preserve"> Transfer time data for </w:t>
      </w:r>
      <w:r>
        <w:rPr>
          <w:b/>
          <w:bCs/>
          <w:u w:val="single"/>
        </w:rPr>
        <w:t xml:space="preserve">all </w:t>
      </w:r>
      <w:r w:rsidRPr="009D7324">
        <w:rPr>
          <w:b/>
          <w:bCs/>
          <w:u w:val="single"/>
        </w:rPr>
        <w:t>studies</w:t>
      </w:r>
    </w:p>
    <w:tbl>
      <w:tblPr>
        <w:tblStyle w:val="TableGrid"/>
        <w:tblW w:w="15735" w:type="dxa"/>
        <w:tblInd w:w="-431" w:type="dxa"/>
        <w:tblLook w:val="04A0" w:firstRow="1" w:lastRow="0" w:firstColumn="1" w:lastColumn="0" w:noHBand="0" w:noVBand="1"/>
      </w:tblPr>
      <w:tblGrid>
        <w:gridCol w:w="1266"/>
        <w:gridCol w:w="1013"/>
        <w:gridCol w:w="1266"/>
        <w:gridCol w:w="1659"/>
        <w:gridCol w:w="1278"/>
        <w:gridCol w:w="1273"/>
        <w:gridCol w:w="1829"/>
        <w:gridCol w:w="3072"/>
        <w:gridCol w:w="3079"/>
      </w:tblGrid>
      <w:tr w:rsidR="001E1C92" w:rsidRPr="00C05B66" w14:paraId="5064519F" w14:textId="77777777" w:rsidTr="0059554D">
        <w:tc>
          <w:tcPr>
            <w:tcW w:w="1266" w:type="dxa"/>
          </w:tcPr>
          <w:p w14:paraId="0FC37E8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9D8C054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Number of prisoner transfers</w:t>
            </w:r>
          </w:p>
        </w:tc>
        <w:tc>
          <w:tcPr>
            <w:tcW w:w="1266" w:type="dxa"/>
          </w:tcPr>
          <w:p w14:paraId="6B57297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Gender</w:t>
            </w:r>
          </w:p>
          <w:p w14:paraId="09DE70A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59" w:type="dxa"/>
          </w:tcPr>
          <w:p w14:paraId="3593A58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Destination of transfer</w:t>
            </w:r>
          </w:p>
        </w:tc>
        <w:tc>
          <w:tcPr>
            <w:tcW w:w="1278" w:type="dxa"/>
          </w:tcPr>
          <w:p w14:paraId="7C42327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MHA Sections used</w:t>
            </w:r>
          </w:p>
        </w:tc>
        <w:tc>
          <w:tcPr>
            <w:tcW w:w="1273" w:type="dxa"/>
          </w:tcPr>
          <w:p w14:paraId="1296D3D4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Time period </w:t>
            </w:r>
          </w:p>
          <w:p w14:paraId="3F49225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  <w:p w14:paraId="73B7318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29" w:type="dxa"/>
          </w:tcPr>
          <w:p w14:paraId="55F404A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Mean overall transfer time from referral to admission (days)</w:t>
            </w:r>
          </w:p>
        </w:tc>
        <w:tc>
          <w:tcPr>
            <w:tcW w:w="3072" w:type="dxa"/>
          </w:tcPr>
          <w:p w14:paraId="0D6330D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Mean transfer times / transferred to breakdown (days)</w:t>
            </w:r>
          </w:p>
          <w:p w14:paraId="31558E7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79" w:type="dxa"/>
          </w:tcPr>
          <w:p w14:paraId="3A46FCF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Reasons for delay / failure to transfer</w:t>
            </w:r>
          </w:p>
        </w:tc>
      </w:tr>
      <w:tr w:rsidR="001E1C92" w:rsidRPr="00C05B66" w14:paraId="2B8DBB48" w14:textId="77777777" w:rsidTr="0059554D">
        <w:tc>
          <w:tcPr>
            <w:tcW w:w="1266" w:type="dxa"/>
            <w:shd w:val="clear" w:color="auto" w:fill="D9E2F3" w:themeFill="accent1" w:themeFillTint="33"/>
          </w:tcPr>
          <w:p w14:paraId="339C2731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  <w:r w:rsidRPr="00AE5F28">
              <w:rPr>
                <w:sz w:val="16"/>
                <w:szCs w:val="16"/>
              </w:rPr>
              <w:t>Carroll et al, 2021</w:t>
            </w:r>
          </w:p>
          <w:p w14:paraId="089841E5" w14:textId="77777777" w:rsidR="001E1C92" w:rsidRPr="00AE5F28" w:rsidRDefault="001E1C92" w:rsidP="0059554D">
            <w:pPr>
              <w:jc w:val="both"/>
              <w:rPr>
                <w:b/>
                <w:bCs/>
                <w:sz w:val="16"/>
                <w:szCs w:val="16"/>
              </w:rPr>
            </w:pPr>
            <w:r w:rsidRPr="00AE5F28">
              <w:rPr>
                <w:b/>
                <w:bCs/>
                <w:sz w:val="16"/>
                <w:szCs w:val="16"/>
              </w:rPr>
              <w:t>(Australia)</w:t>
            </w:r>
          </w:p>
          <w:p w14:paraId="54249F6B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</w:p>
          <w:p w14:paraId="1C04B2AD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</w:p>
          <w:p w14:paraId="7B47526A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D9E2F3" w:themeFill="accent1" w:themeFillTint="33"/>
          </w:tcPr>
          <w:p w14:paraId="7A3195D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915509">
              <w:rPr>
                <w:sz w:val="16"/>
                <w:szCs w:val="16"/>
              </w:rPr>
              <w:t>Missing data</w:t>
            </w:r>
          </w:p>
        </w:tc>
        <w:tc>
          <w:tcPr>
            <w:tcW w:w="1266" w:type="dxa"/>
            <w:shd w:val="clear" w:color="auto" w:fill="D9E2F3" w:themeFill="accent1" w:themeFillTint="33"/>
          </w:tcPr>
          <w:p w14:paraId="5B4EDB6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915509">
              <w:rPr>
                <w:sz w:val="16"/>
                <w:szCs w:val="16"/>
              </w:rPr>
              <w:t>Missing data</w:t>
            </w:r>
          </w:p>
        </w:tc>
        <w:tc>
          <w:tcPr>
            <w:tcW w:w="1659" w:type="dxa"/>
            <w:shd w:val="clear" w:color="auto" w:fill="D9E2F3" w:themeFill="accent1" w:themeFillTint="33"/>
          </w:tcPr>
          <w:p w14:paraId="7B431CEF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915509">
              <w:rPr>
                <w:sz w:val="16"/>
                <w:szCs w:val="16"/>
              </w:rPr>
              <w:t>Missing data</w:t>
            </w:r>
          </w:p>
        </w:tc>
        <w:tc>
          <w:tcPr>
            <w:tcW w:w="1278" w:type="dxa"/>
            <w:shd w:val="clear" w:color="auto" w:fill="D9E2F3" w:themeFill="accent1" w:themeFillTint="33"/>
          </w:tcPr>
          <w:p w14:paraId="58B9F0F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915509">
              <w:rPr>
                <w:sz w:val="16"/>
                <w:szCs w:val="16"/>
              </w:rPr>
              <w:t>Missing data</w:t>
            </w:r>
          </w:p>
        </w:tc>
        <w:tc>
          <w:tcPr>
            <w:tcW w:w="1273" w:type="dxa"/>
            <w:shd w:val="clear" w:color="auto" w:fill="D9E2F3" w:themeFill="accent1" w:themeFillTint="33"/>
          </w:tcPr>
          <w:p w14:paraId="705DFC2F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915509">
              <w:rPr>
                <w:sz w:val="16"/>
                <w:szCs w:val="16"/>
              </w:rPr>
              <w:t>Missing data</w:t>
            </w:r>
          </w:p>
        </w:tc>
        <w:tc>
          <w:tcPr>
            <w:tcW w:w="1829" w:type="dxa"/>
            <w:shd w:val="clear" w:color="auto" w:fill="D9E2F3" w:themeFill="accent1" w:themeFillTint="33"/>
          </w:tcPr>
          <w:p w14:paraId="60A089B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915509">
              <w:rPr>
                <w:sz w:val="16"/>
                <w:szCs w:val="16"/>
              </w:rPr>
              <w:t>Missing data</w:t>
            </w:r>
          </w:p>
        </w:tc>
        <w:tc>
          <w:tcPr>
            <w:tcW w:w="3072" w:type="dxa"/>
            <w:shd w:val="clear" w:color="auto" w:fill="D9E2F3" w:themeFill="accent1" w:themeFillTint="33"/>
          </w:tcPr>
          <w:p w14:paraId="09D0080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915509">
              <w:rPr>
                <w:sz w:val="16"/>
                <w:szCs w:val="16"/>
              </w:rPr>
              <w:t>Missing data</w:t>
            </w:r>
          </w:p>
        </w:tc>
        <w:tc>
          <w:tcPr>
            <w:tcW w:w="3079" w:type="dxa"/>
            <w:shd w:val="clear" w:color="auto" w:fill="D9E2F3" w:themeFill="accent1" w:themeFillTint="33"/>
          </w:tcPr>
          <w:p w14:paraId="0CD0A028" w14:textId="77777777" w:rsidR="001E1C92" w:rsidRPr="00915509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Pr="00915509">
              <w:rPr>
                <w:sz w:val="16"/>
                <w:szCs w:val="16"/>
              </w:rPr>
              <w:t>dult male remand or sentenced prisoners are</w:t>
            </w:r>
            <w:r>
              <w:rPr>
                <w:sz w:val="16"/>
                <w:szCs w:val="16"/>
              </w:rPr>
              <w:t xml:space="preserve"> </w:t>
            </w:r>
            <w:r w:rsidRPr="00915509">
              <w:rPr>
                <w:sz w:val="16"/>
                <w:szCs w:val="16"/>
              </w:rPr>
              <w:t>almost never transferred to hospital units for involuntary treatment of mental</w:t>
            </w:r>
          </w:p>
          <w:p w14:paraId="3A9CC71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915509">
              <w:rPr>
                <w:sz w:val="16"/>
                <w:szCs w:val="16"/>
              </w:rPr>
              <w:t>illness. Only female and juvenile prisoners are infrequently transferred</w:t>
            </w:r>
          </w:p>
        </w:tc>
      </w:tr>
      <w:tr w:rsidR="001E1C92" w:rsidRPr="00C05B66" w14:paraId="4C8ADBB4" w14:textId="77777777" w:rsidTr="0059554D">
        <w:tc>
          <w:tcPr>
            <w:tcW w:w="1266" w:type="dxa"/>
          </w:tcPr>
          <w:p w14:paraId="7756866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Woods et al, 2020</w:t>
            </w:r>
          </w:p>
        </w:tc>
        <w:tc>
          <w:tcPr>
            <w:tcW w:w="1013" w:type="dxa"/>
          </w:tcPr>
          <w:p w14:paraId="4D6F280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n = 173 </w:t>
            </w:r>
          </w:p>
          <w:p w14:paraId="3C5FBC9C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6" w:type="dxa"/>
          </w:tcPr>
          <w:p w14:paraId="3FD3704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Male 100%</w:t>
            </w:r>
          </w:p>
        </w:tc>
        <w:tc>
          <w:tcPr>
            <w:tcW w:w="1659" w:type="dxa"/>
          </w:tcPr>
          <w:p w14:paraId="2D8667AC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High (n=12)</w:t>
            </w:r>
          </w:p>
          <w:p w14:paraId="1844073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Medium (n=98)</w:t>
            </w:r>
          </w:p>
          <w:p w14:paraId="04D527F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Low (n=20)</w:t>
            </w:r>
          </w:p>
          <w:p w14:paraId="0069F80F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PICU (n=34)</w:t>
            </w:r>
          </w:p>
          <w:p w14:paraId="7C5E111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Other (n=9)</w:t>
            </w:r>
          </w:p>
        </w:tc>
        <w:tc>
          <w:tcPr>
            <w:tcW w:w="1278" w:type="dxa"/>
          </w:tcPr>
          <w:p w14:paraId="3FC1AD2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B44C42">
              <w:rPr>
                <w:sz w:val="16"/>
                <w:szCs w:val="16"/>
              </w:rPr>
              <w:t>Missing data</w:t>
            </w:r>
          </w:p>
        </w:tc>
        <w:tc>
          <w:tcPr>
            <w:tcW w:w="1273" w:type="dxa"/>
          </w:tcPr>
          <w:p w14:paraId="041D136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Sept 2010-Sept 2016 (6 years)</w:t>
            </w:r>
          </w:p>
        </w:tc>
        <w:tc>
          <w:tcPr>
            <w:tcW w:w="1829" w:type="dxa"/>
          </w:tcPr>
          <w:p w14:paraId="6A7D320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 = 171 (completed)</w:t>
            </w:r>
          </w:p>
          <w:p w14:paraId="5FF4FC73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57.8 (SD 70.5)</w:t>
            </w:r>
          </w:p>
          <w:p w14:paraId="5485B3AC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072" w:type="dxa"/>
          </w:tcPr>
          <w:p w14:paraId="284ABCE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High 159.6 (SD 115.7)</w:t>
            </w:r>
          </w:p>
          <w:p w14:paraId="563DC794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Medium 58.5 (SD 67.1)</w:t>
            </w:r>
          </w:p>
          <w:p w14:paraId="1B1E548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Low 54.8 (SD 52.9)</w:t>
            </w:r>
          </w:p>
          <w:p w14:paraId="759E929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PICU 16.1 (SD 11.3)</w:t>
            </w:r>
          </w:p>
          <w:p w14:paraId="5F6B98B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Other 68.7 (SD 53.2)</w:t>
            </w:r>
          </w:p>
        </w:tc>
        <w:tc>
          <w:tcPr>
            <w:tcW w:w="3079" w:type="dxa"/>
          </w:tcPr>
          <w:p w14:paraId="3DCF15FA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A shortage of forensic beds and disagreements as to the level of security required contributing to significant delays in transfers</w:t>
            </w:r>
          </w:p>
        </w:tc>
      </w:tr>
      <w:tr w:rsidR="001E1C92" w:rsidRPr="00C05B66" w14:paraId="67DB20D1" w14:textId="77777777" w:rsidTr="0059554D">
        <w:tc>
          <w:tcPr>
            <w:tcW w:w="1266" w:type="dxa"/>
            <w:shd w:val="clear" w:color="auto" w:fill="D9E2F3" w:themeFill="accent1" w:themeFillTint="33"/>
          </w:tcPr>
          <w:p w14:paraId="061B77F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proofErr w:type="spellStart"/>
            <w:r w:rsidRPr="00C05B66">
              <w:rPr>
                <w:sz w:val="16"/>
                <w:szCs w:val="16"/>
              </w:rPr>
              <w:t>Okudo</w:t>
            </w:r>
            <w:proofErr w:type="spellEnd"/>
            <w:r w:rsidRPr="00C05B66">
              <w:rPr>
                <w:sz w:val="16"/>
                <w:szCs w:val="16"/>
              </w:rPr>
              <w:t xml:space="preserve">, 2020 </w:t>
            </w:r>
            <w:r w:rsidRPr="00C05B66">
              <w:rPr>
                <w:b/>
                <w:bCs/>
                <w:sz w:val="16"/>
                <w:szCs w:val="16"/>
              </w:rPr>
              <w:t>(Scotland)</w:t>
            </w:r>
          </w:p>
        </w:tc>
        <w:tc>
          <w:tcPr>
            <w:tcW w:w="1013" w:type="dxa"/>
            <w:shd w:val="clear" w:color="auto" w:fill="D9E2F3" w:themeFill="accent1" w:themeFillTint="33"/>
          </w:tcPr>
          <w:p w14:paraId="66D5DD9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 = 124</w:t>
            </w:r>
          </w:p>
        </w:tc>
        <w:tc>
          <w:tcPr>
            <w:tcW w:w="1266" w:type="dxa"/>
            <w:shd w:val="clear" w:color="auto" w:fill="D9E2F3" w:themeFill="accent1" w:themeFillTint="33"/>
          </w:tcPr>
          <w:p w14:paraId="35A3307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Male 105 (84.7%)</w:t>
            </w:r>
          </w:p>
          <w:p w14:paraId="5088198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Female 19 (15.3%)</w:t>
            </w:r>
          </w:p>
        </w:tc>
        <w:tc>
          <w:tcPr>
            <w:tcW w:w="1659" w:type="dxa"/>
            <w:shd w:val="clear" w:color="auto" w:fill="D9E2F3" w:themeFill="accent1" w:themeFillTint="33"/>
          </w:tcPr>
          <w:p w14:paraId="104936E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High (n=22)</w:t>
            </w:r>
          </w:p>
          <w:p w14:paraId="63CB047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Medium (n=13)</w:t>
            </w:r>
          </w:p>
          <w:p w14:paraId="7E783CCC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Low (n=7)</w:t>
            </w:r>
          </w:p>
          <w:p w14:paraId="65C154F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IPCU (n=70)</w:t>
            </w:r>
          </w:p>
        </w:tc>
        <w:tc>
          <w:tcPr>
            <w:tcW w:w="1278" w:type="dxa"/>
            <w:shd w:val="clear" w:color="auto" w:fill="D9E2F3" w:themeFill="accent1" w:themeFillTint="33"/>
          </w:tcPr>
          <w:p w14:paraId="44E4A50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85 x 52 (remand)</w:t>
            </w:r>
          </w:p>
          <w:p w14:paraId="129CB51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39 x 136 (sentenced)</w:t>
            </w:r>
          </w:p>
        </w:tc>
        <w:tc>
          <w:tcPr>
            <w:tcW w:w="1273" w:type="dxa"/>
            <w:shd w:val="clear" w:color="auto" w:fill="D9E2F3" w:themeFill="accent1" w:themeFillTint="33"/>
          </w:tcPr>
          <w:p w14:paraId="20DC3D9A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1</w:t>
            </w:r>
            <w:r w:rsidRPr="00C05B66">
              <w:rPr>
                <w:sz w:val="16"/>
                <w:szCs w:val="16"/>
                <w:vertAlign w:val="superscript"/>
              </w:rPr>
              <w:t>st</w:t>
            </w:r>
            <w:r w:rsidRPr="00C05B66">
              <w:rPr>
                <w:sz w:val="16"/>
                <w:szCs w:val="16"/>
              </w:rPr>
              <w:t xml:space="preserve"> January 2016-31</w:t>
            </w:r>
            <w:r w:rsidRPr="00C05B66">
              <w:rPr>
                <w:sz w:val="16"/>
                <w:szCs w:val="16"/>
                <w:vertAlign w:val="superscript"/>
              </w:rPr>
              <w:t>st</w:t>
            </w:r>
            <w:r w:rsidRPr="00C05B66">
              <w:rPr>
                <w:sz w:val="16"/>
                <w:szCs w:val="16"/>
              </w:rPr>
              <w:t xml:space="preserve"> December 2016</w:t>
            </w:r>
          </w:p>
        </w:tc>
        <w:tc>
          <w:tcPr>
            <w:tcW w:w="1829" w:type="dxa"/>
            <w:shd w:val="clear" w:color="auto" w:fill="D9E2F3" w:themeFill="accent1" w:themeFillTint="33"/>
          </w:tcPr>
          <w:p w14:paraId="3C33F54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 = 112 (completed)</w:t>
            </w:r>
          </w:p>
          <w:p w14:paraId="3056088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21.5 (SD 29.7)</w:t>
            </w:r>
          </w:p>
        </w:tc>
        <w:tc>
          <w:tcPr>
            <w:tcW w:w="3072" w:type="dxa"/>
            <w:shd w:val="clear" w:color="auto" w:fill="D9E2F3" w:themeFill="accent1" w:themeFillTint="33"/>
          </w:tcPr>
          <w:p w14:paraId="6F90F09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n=60 (80%) within 1 month</w:t>
            </w:r>
          </w:p>
          <w:p w14:paraId="2669AAE4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n=12 (16%) between 1 and</w:t>
            </w:r>
          </w:p>
          <w:p w14:paraId="3ECDB9E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3 months</w:t>
            </w:r>
          </w:p>
          <w:p w14:paraId="7562B5C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n=2 (2.7%) between 3 and 6 months</w:t>
            </w:r>
          </w:p>
          <w:p w14:paraId="66E476B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n=1 (1.3%) longer than 6 months</w:t>
            </w:r>
          </w:p>
          <w:p w14:paraId="65AB728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079" w:type="dxa"/>
            <w:shd w:val="clear" w:color="auto" w:fill="D9E2F3" w:themeFill="accent1" w:themeFillTint="33"/>
          </w:tcPr>
          <w:p w14:paraId="7D56287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The required assessment by clinicians from high-secure likely prolonged transfer duration and potentially delayed access to inpatient care. Also, disagreements over</w:t>
            </w:r>
          </w:p>
          <w:p w14:paraId="6D5A711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the appropriate level of security and difficulties accessing the prisoner have</w:t>
            </w:r>
          </w:p>
          <w:p w14:paraId="41B214F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previously been reported to contribute to transfer delays</w:t>
            </w:r>
          </w:p>
        </w:tc>
      </w:tr>
      <w:tr w:rsidR="001E1C92" w:rsidRPr="00C05B66" w14:paraId="697A0A40" w14:textId="77777777" w:rsidTr="0059554D">
        <w:tc>
          <w:tcPr>
            <w:tcW w:w="1266" w:type="dxa"/>
            <w:shd w:val="clear" w:color="auto" w:fill="D9E2F3" w:themeFill="accent1" w:themeFillTint="33"/>
          </w:tcPr>
          <w:p w14:paraId="5C86F101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Skipworth</w:t>
            </w:r>
            <w:proofErr w:type="spellEnd"/>
            <w:r>
              <w:rPr>
                <w:sz w:val="16"/>
                <w:szCs w:val="16"/>
              </w:rPr>
              <w:t xml:space="preserve"> et al, 2019</w:t>
            </w:r>
          </w:p>
          <w:p w14:paraId="3FD88F9A" w14:textId="77777777" w:rsidR="001E1C92" w:rsidRPr="00AE5F28" w:rsidRDefault="001E1C92" w:rsidP="0059554D">
            <w:pPr>
              <w:jc w:val="both"/>
              <w:rPr>
                <w:b/>
                <w:bCs/>
                <w:sz w:val="16"/>
                <w:szCs w:val="16"/>
              </w:rPr>
            </w:pPr>
            <w:r w:rsidRPr="00AE5F28">
              <w:rPr>
                <w:b/>
                <w:bCs/>
                <w:sz w:val="16"/>
                <w:szCs w:val="16"/>
              </w:rPr>
              <w:t>(New Zealand)</w:t>
            </w:r>
          </w:p>
          <w:p w14:paraId="7209D16C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</w:p>
          <w:p w14:paraId="7DB40B33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D9E2F3" w:themeFill="accent1" w:themeFillTint="33"/>
          </w:tcPr>
          <w:p w14:paraId="7F1EA42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Missing data</w:t>
            </w:r>
          </w:p>
        </w:tc>
        <w:tc>
          <w:tcPr>
            <w:tcW w:w="1266" w:type="dxa"/>
            <w:shd w:val="clear" w:color="auto" w:fill="D9E2F3" w:themeFill="accent1" w:themeFillTint="33"/>
          </w:tcPr>
          <w:p w14:paraId="558D4DE7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Male 358 (93%)</w:t>
            </w:r>
          </w:p>
          <w:p w14:paraId="28F284F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Female 28 (7%)</w:t>
            </w:r>
          </w:p>
        </w:tc>
        <w:tc>
          <w:tcPr>
            <w:tcW w:w="1659" w:type="dxa"/>
            <w:shd w:val="clear" w:color="auto" w:fill="D9E2F3" w:themeFill="accent1" w:themeFillTint="33"/>
          </w:tcPr>
          <w:p w14:paraId="7AE4B13A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622E21">
              <w:rPr>
                <w:sz w:val="16"/>
                <w:szCs w:val="16"/>
              </w:rPr>
              <w:t>Missing data</w:t>
            </w:r>
          </w:p>
        </w:tc>
        <w:tc>
          <w:tcPr>
            <w:tcW w:w="1278" w:type="dxa"/>
            <w:shd w:val="clear" w:color="auto" w:fill="D9E2F3" w:themeFill="accent1" w:themeFillTint="33"/>
          </w:tcPr>
          <w:p w14:paraId="326FFDA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622E21">
              <w:rPr>
                <w:sz w:val="16"/>
                <w:szCs w:val="16"/>
              </w:rPr>
              <w:t>Missing data</w:t>
            </w:r>
          </w:p>
        </w:tc>
        <w:tc>
          <w:tcPr>
            <w:tcW w:w="1273" w:type="dxa"/>
            <w:shd w:val="clear" w:color="auto" w:fill="D9E2F3" w:themeFill="accent1" w:themeFillTint="33"/>
          </w:tcPr>
          <w:p w14:paraId="0D63963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AE5F28">
              <w:rPr>
                <w:sz w:val="16"/>
                <w:szCs w:val="16"/>
              </w:rPr>
              <w:t>1988</w:t>
            </w:r>
            <w:r>
              <w:rPr>
                <w:sz w:val="16"/>
                <w:szCs w:val="16"/>
              </w:rPr>
              <w:t>-</w:t>
            </w:r>
            <w:r w:rsidRPr="00AE5F28">
              <w:rPr>
                <w:sz w:val="16"/>
                <w:szCs w:val="16"/>
              </w:rPr>
              <w:t>2000</w:t>
            </w:r>
          </w:p>
        </w:tc>
        <w:tc>
          <w:tcPr>
            <w:tcW w:w="1829" w:type="dxa"/>
            <w:shd w:val="clear" w:color="auto" w:fill="D9E2F3" w:themeFill="accent1" w:themeFillTint="33"/>
          </w:tcPr>
          <w:p w14:paraId="4086709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622E21">
              <w:rPr>
                <w:sz w:val="16"/>
                <w:szCs w:val="16"/>
              </w:rPr>
              <w:t>Missing data</w:t>
            </w:r>
          </w:p>
        </w:tc>
        <w:tc>
          <w:tcPr>
            <w:tcW w:w="3072" w:type="dxa"/>
            <w:shd w:val="clear" w:color="auto" w:fill="D9E2F3" w:themeFill="accent1" w:themeFillTint="33"/>
          </w:tcPr>
          <w:p w14:paraId="0099CB3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622E21">
              <w:rPr>
                <w:sz w:val="16"/>
                <w:szCs w:val="16"/>
              </w:rPr>
              <w:t>Missing data</w:t>
            </w:r>
          </w:p>
        </w:tc>
        <w:tc>
          <w:tcPr>
            <w:tcW w:w="3079" w:type="dxa"/>
            <w:shd w:val="clear" w:color="auto" w:fill="D9E2F3" w:themeFill="accent1" w:themeFillTint="33"/>
          </w:tcPr>
          <w:p w14:paraId="2716A519" w14:textId="77777777" w:rsidR="001E1C92" w:rsidRPr="000C12C6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0C12C6">
              <w:rPr>
                <w:sz w:val="16"/>
                <w:szCs w:val="16"/>
              </w:rPr>
              <w:t>risoners with SMI with higher rehabilitation</w:t>
            </w:r>
          </w:p>
          <w:p w14:paraId="2AC883E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0C12C6">
              <w:rPr>
                <w:sz w:val="16"/>
                <w:szCs w:val="16"/>
              </w:rPr>
              <w:t>needs could be transferred to forensic hospital beds</w:t>
            </w:r>
            <w:r>
              <w:rPr>
                <w:sz w:val="16"/>
                <w:szCs w:val="16"/>
              </w:rPr>
              <w:t>, though</w:t>
            </w:r>
            <w:r w:rsidRPr="000C12C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these transfers </w:t>
            </w:r>
            <w:r w:rsidRPr="00622E21">
              <w:rPr>
                <w:sz w:val="16"/>
                <w:szCs w:val="16"/>
              </w:rPr>
              <w:t>are under such pressure</w:t>
            </w:r>
            <w:r>
              <w:rPr>
                <w:sz w:val="16"/>
                <w:szCs w:val="16"/>
              </w:rPr>
              <w:t xml:space="preserve"> </w:t>
            </w:r>
            <w:r w:rsidRPr="00622E21">
              <w:rPr>
                <w:sz w:val="16"/>
                <w:szCs w:val="16"/>
              </w:rPr>
              <w:t>that this is currently unlikely to be feasible</w:t>
            </w:r>
            <w:r>
              <w:rPr>
                <w:sz w:val="16"/>
                <w:szCs w:val="16"/>
              </w:rPr>
              <w:t>.</w:t>
            </w:r>
          </w:p>
        </w:tc>
      </w:tr>
      <w:tr w:rsidR="001E1C92" w:rsidRPr="00C05B66" w14:paraId="51C2E960" w14:textId="77777777" w:rsidTr="0059554D">
        <w:tc>
          <w:tcPr>
            <w:tcW w:w="1266" w:type="dxa"/>
            <w:shd w:val="clear" w:color="auto" w:fill="D9E2F3" w:themeFill="accent1" w:themeFillTint="33"/>
          </w:tcPr>
          <w:p w14:paraId="09E83812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Bones &amp; Roberts, 2019</w:t>
            </w:r>
          </w:p>
          <w:p w14:paraId="2CBBBB3E" w14:textId="77777777" w:rsidR="001E1C92" w:rsidRPr="00AE5F28" w:rsidRDefault="001E1C92" w:rsidP="0059554D">
            <w:pPr>
              <w:jc w:val="both"/>
              <w:rPr>
                <w:b/>
                <w:bCs/>
                <w:sz w:val="16"/>
                <w:szCs w:val="16"/>
              </w:rPr>
            </w:pPr>
            <w:r w:rsidRPr="00AE5F28">
              <w:rPr>
                <w:b/>
                <w:bCs/>
                <w:sz w:val="16"/>
                <w:szCs w:val="16"/>
              </w:rPr>
              <w:t>(Ghana)</w:t>
            </w:r>
          </w:p>
          <w:p w14:paraId="390B15E9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</w:p>
          <w:p w14:paraId="7954640F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3" w:type="dxa"/>
            <w:shd w:val="clear" w:color="auto" w:fill="D9E2F3" w:themeFill="accent1" w:themeFillTint="33"/>
          </w:tcPr>
          <w:p w14:paraId="358F7A2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2</w:t>
            </w:r>
          </w:p>
        </w:tc>
        <w:tc>
          <w:tcPr>
            <w:tcW w:w="1266" w:type="dxa"/>
            <w:shd w:val="clear" w:color="auto" w:fill="D9E2F3" w:themeFill="accent1" w:themeFillTint="33"/>
          </w:tcPr>
          <w:p w14:paraId="5C4EEB6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Male 2 (100%)</w:t>
            </w:r>
          </w:p>
        </w:tc>
        <w:tc>
          <w:tcPr>
            <w:tcW w:w="1659" w:type="dxa"/>
            <w:shd w:val="clear" w:color="auto" w:fill="D9E2F3" w:themeFill="accent1" w:themeFillTint="33"/>
          </w:tcPr>
          <w:p w14:paraId="5AA9030A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proofErr w:type="spellStart"/>
            <w:r w:rsidRPr="00B44C42">
              <w:rPr>
                <w:sz w:val="16"/>
                <w:szCs w:val="16"/>
              </w:rPr>
              <w:t>Pantang</w:t>
            </w:r>
            <w:proofErr w:type="spellEnd"/>
            <w:r w:rsidRPr="00B44C42">
              <w:rPr>
                <w:sz w:val="16"/>
                <w:szCs w:val="16"/>
              </w:rPr>
              <w:t xml:space="preserve"> Psychiatric Hospital</w:t>
            </w:r>
          </w:p>
        </w:tc>
        <w:tc>
          <w:tcPr>
            <w:tcW w:w="1278" w:type="dxa"/>
            <w:shd w:val="clear" w:color="auto" w:fill="D9E2F3" w:themeFill="accent1" w:themeFillTint="33"/>
          </w:tcPr>
          <w:p w14:paraId="20E67AD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B44C42">
              <w:rPr>
                <w:sz w:val="16"/>
                <w:szCs w:val="16"/>
              </w:rPr>
              <w:t>Missing data</w:t>
            </w:r>
          </w:p>
        </w:tc>
        <w:tc>
          <w:tcPr>
            <w:tcW w:w="1273" w:type="dxa"/>
            <w:shd w:val="clear" w:color="auto" w:fill="D9E2F3" w:themeFill="accent1" w:themeFillTint="33"/>
          </w:tcPr>
          <w:p w14:paraId="450251C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November 2013</w:t>
            </w:r>
          </w:p>
        </w:tc>
        <w:tc>
          <w:tcPr>
            <w:tcW w:w="1829" w:type="dxa"/>
            <w:shd w:val="clear" w:color="auto" w:fill="D9E2F3" w:themeFill="accent1" w:themeFillTint="33"/>
          </w:tcPr>
          <w:p w14:paraId="050845C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B44C42">
              <w:rPr>
                <w:sz w:val="16"/>
                <w:szCs w:val="16"/>
              </w:rPr>
              <w:t>Missing data</w:t>
            </w:r>
          </w:p>
        </w:tc>
        <w:tc>
          <w:tcPr>
            <w:tcW w:w="3072" w:type="dxa"/>
            <w:shd w:val="clear" w:color="auto" w:fill="D9E2F3" w:themeFill="accent1" w:themeFillTint="33"/>
          </w:tcPr>
          <w:p w14:paraId="296A31F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B44C42">
              <w:rPr>
                <w:sz w:val="16"/>
                <w:szCs w:val="16"/>
              </w:rPr>
              <w:t>One patient had been detained in Prison for four years before his transfer</w:t>
            </w:r>
          </w:p>
        </w:tc>
        <w:tc>
          <w:tcPr>
            <w:tcW w:w="3079" w:type="dxa"/>
            <w:shd w:val="clear" w:color="auto" w:fill="D9E2F3" w:themeFill="accent1" w:themeFillTint="33"/>
          </w:tcPr>
          <w:p w14:paraId="6A0AE967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  <w:r w:rsidRPr="005F7B33">
              <w:rPr>
                <w:sz w:val="16"/>
                <w:szCs w:val="16"/>
              </w:rPr>
              <w:t>The fundamental factor revealed is the lack of an efficient interface between</w:t>
            </w:r>
            <w:r>
              <w:rPr>
                <w:sz w:val="16"/>
                <w:szCs w:val="16"/>
              </w:rPr>
              <w:t xml:space="preserve"> </w:t>
            </w:r>
            <w:r w:rsidRPr="005F7B33">
              <w:rPr>
                <w:sz w:val="16"/>
                <w:szCs w:val="16"/>
              </w:rPr>
              <w:t>mental health and relevant criminal justice partners</w:t>
            </w:r>
          </w:p>
          <w:p w14:paraId="3FA9021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</w:tr>
      <w:tr w:rsidR="001E1C92" w:rsidRPr="00C05B66" w14:paraId="72DD2880" w14:textId="77777777" w:rsidTr="0059554D">
        <w:tc>
          <w:tcPr>
            <w:tcW w:w="1266" w:type="dxa"/>
          </w:tcPr>
          <w:p w14:paraId="3D7FF5B8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  <w:proofErr w:type="spellStart"/>
            <w:r w:rsidRPr="00C05B66">
              <w:rPr>
                <w:sz w:val="16"/>
                <w:szCs w:val="16"/>
              </w:rPr>
              <w:t>Neeilan</w:t>
            </w:r>
            <w:proofErr w:type="spellEnd"/>
            <w:r w:rsidRPr="00C05B66">
              <w:rPr>
                <w:sz w:val="16"/>
                <w:szCs w:val="16"/>
              </w:rPr>
              <w:t xml:space="preserve"> &amp; O’Brien, 2017* </w:t>
            </w:r>
          </w:p>
        </w:tc>
        <w:tc>
          <w:tcPr>
            <w:tcW w:w="1013" w:type="dxa"/>
          </w:tcPr>
          <w:p w14:paraId="7102789F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n =18 </w:t>
            </w:r>
          </w:p>
          <w:p w14:paraId="06DA515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6" w:type="dxa"/>
          </w:tcPr>
          <w:p w14:paraId="0070425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Male 100%</w:t>
            </w:r>
          </w:p>
        </w:tc>
        <w:tc>
          <w:tcPr>
            <w:tcW w:w="1659" w:type="dxa"/>
          </w:tcPr>
          <w:p w14:paraId="6DACD59F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AE5F28">
              <w:rPr>
                <w:b/>
                <w:bCs/>
                <w:sz w:val="16"/>
                <w:szCs w:val="16"/>
              </w:rPr>
              <w:t>*Returned to prison*</w:t>
            </w:r>
          </w:p>
        </w:tc>
        <w:tc>
          <w:tcPr>
            <w:tcW w:w="1278" w:type="dxa"/>
          </w:tcPr>
          <w:p w14:paraId="1A8C177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9 x 47/49  </w:t>
            </w:r>
          </w:p>
          <w:p w14:paraId="0B6C37F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9 x 48/49</w:t>
            </w:r>
          </w:p>
        </w:tc>
        <w:tc>
          <w:tcPr>
            <w:tcW w:w="1273" w:type="dxa"/>
          </w:tcPr>
          <w:p w14:paraId="51AC10D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Jan 2008-Dec 2014 (7 years)</w:t>
            </w:r>
          </w:p>
        </w:tc>
        <w:tc>
          <w:tcPr>
            <w:tcW w:w="1829" w:type="dxa"/>
          </w:tcPr>
          <w:p w14:paraId="510EE99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 = 5 (completed)</w:t>
            </w:r>
          </w:p>
          <w:p w14:paraId="4424056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14.6 (SD 25.03)</w:t>
            </w:r>
          </w:p>
          <w:p w14:paraId="34EFCEB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i/>
                <w:iCs/>
                <w:sz w:val="16"/>
                <w:szCs w:val="16"/>
              </w:rPr>
              <w:t xml:space="preserve">* </w:t>
            </w:r>
            <w:proofErr w:type="gramStart"/>
            <w:r w:rsidRPr="00C05B66">
              <w:rPr>
                <w:i/>
                <w:iCs/>
                <w:sz w:val="16"/>
                <w:szCs w:val="16"/>
              </w:rPr>
              <w:t>transfers</w:t>
            </w:r>
            <w:proofErr w:type="gramEnd"/>
            <w:r w:rsidRPr="00C05B66">
              <w:rPr>
                <w:i/>
                <w:iCs/>
                <w:sz w:val="16"/>
                <w:szCs w:val="16"/>
              </w:rPr>
              <w:t xml:space="preserve"> back to prison</w:t>
            </w:r>
          </w:p>
        </w:tc>
        <w:tc>
          <w:tcPr>
            <w:tcW w:w="3072" w:type="dxa"/>
          </w:tcPr>
          <w:p w14:paraId="6EDAAA0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Prison 14.6 days (SD 25.03)</w:t>
            </w:r>
          </w:p>
          <w:p w14:paraId="55B8F2E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Community 1.86 days (SD 3.34) </w:t>
            </w:r>
          </w:p>
        </w:tc>
        <w:tc>
          <w:tcPr>
            <w:tcW w:w="3079" w:type="dxa"/>
          </w:tcPr>
          <w:p w14:paraId="334B8294" w14:textId="77777777" w:rsidR="001E1C92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The offender pathway requires further exploration to establish where the “blocks” are in delay of remittance of this group to prison.</w:t>
            </w:r>
          </w:p>
        </w:tc>
      </w:tr>
      <w:tr w:rsidR="001E1C92" w:rsidRPr="00C05B66" w14:paraId="6CA0C8B9" w14:textId="77777777" w:rsidTr="0059554D">
        <w:tc>
          <w:tcPr>
            <w:tcW w:w="1266" w:type="dxa"/>
          </w:tcPr>
          <w:p w14:paraId="2967B44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Sharpe et al, 2016</w:t>
            </w:r>
          </w:p>
        </w:tc>
        <w:tc>
          <w:tcPr>
            <w:tcW w:w="1013" w:type="dxa"/>
          </w:tcPr>
          <w:p w14:paraId="0A7CED4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n = 64 </w:t>
            </w:r>
          </w:p>
          <w:p w14:paraId="75A7879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6" w:type="dxa"/>
          </w:tcPr>
          <w:p w14:paraId="3708D08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Male 100%</w:t>
            </w:r>
          </w:p>
        </w:tc>
        <w:tc>
          <w:tcPr>
            <w:tcW w:w="1659" w:type="dxa"/>
          </w:tcPr>
          <w:p w14:paraId="6834481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B44C42">
              <w:rPr>
                <w:sz w:val="16"/>
                <w:szCs w:val="16"/>
              </w:rPr>
              <w:t>Missing data</w:t>
            </w:r>
          </w:p>
        </w:tc>
        <w:tc>
          <w:tcPr>
            <w:tcW w:w="1278" w:type="dxa"/>
          </w:tcPr>
          <w:p w14:paraId="38BFA3E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44 x 47/49 </w:t>
            </w:r>
          </w:p>
          <w:p w14:paraId="2AFEC7A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20 x 48/49</w:t>
            </w:r>
          </w:p>
        </w:tc>
        <w:tc>
          <w:tcPr>
            <w:tcW w:w="1273" w:type="dxa"/>
          </w:tcPr>
          <w:p w14:paraId="0B3F28F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Nov 2011-May 2015 (3 ½ years)</w:t>
            </w:r>
          </w:p>
        </w:tc>
        <w:tc>
          <w:tcPr>
            <w:tcW w:w="1829" w:type="dxa"/>
          </w:tcPr>
          <w:p w14:paraId="11145664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 = 64</w:t>
            </w:r>
          </w:p>
          <w:p w14:paraId="5443040F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75.81 </w:t>
            </w:r>
          </w:p>
          <w:p w14:paraId="29FF831A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(</w:t>
            </w:r>
            <w:proofErr w:type="gramStart"/>
            <w:r w:rsidRPr="00C05B66">
              <w:rPr>
                <w:sz w:val="16"/>
                <w:szCs w:val="16"/>
              </w:rPr>
              <w:t>median</w:t>
            </w:r>
            <w:proofErr w:type="gramEnd"/>
            <w:r w:rsidRPr="00C05B66">
              <w:rPr>
                <w:sz w:val="16"/>
                <w:szCs w:val="16"/>
              </w:rPr>
              <w:t xml:space="preserve"> 46)</w:t>
            </w:r>
          </w:p>
        </w:tc>
        <w:tc>
          <w:tcPr>
            <w:tcW w:w="3072" w:type="dxa"/>
          </w:tcPr>
          <w:p w14:paraId="4A55332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n=9 (14%) within 14 days</w:t>
            </w:r>
          </w:p>
          <w:p w14:paraId="4197DCD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n=8 (13%) within 1 month</w:t>
            </w:r>
          </w:p>
          <w:p w14:paraId="7A00327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n=30 (47%) between 1 and 3 months</w:t>
            </w:r>
          </w:p>
          <w:p w14:paraId="749D03E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n=11 (17%) between 3-6 months</w:t>
            </w:r>
          </w:p>
          <w:p w14:paraId="46AC8F5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n=6 (9%) longer than 6 months </w:t>
            </w:r>
          </w:p>
        </w:tc>
        <w:tc>
          <w:tcPr>
            <w:tcW w:w="3079" w:type="dxa"/>
          </w:tcPr>
          <w:p w14:paraId="6502BF6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Whilst transfers were made to units nationwide, the current study is limited by the fact that</w:t>
            </w:r>
          </w:p>
          <w:p w14:paraId="357606B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the majority were to units in the East Midlands. The greatest proportion of the transfer delay can be attributed to </w:t>
            </w:r>
            <w:bookmarkStart w:id="0" w:name="_Hlk80968742"/>
            <w:r w:rsidRPr="00C05B66">
              <w:rPr>
                <w:sz w:val="16"/>
                <w:szCs w:val="16"/>
              </w:rPr>
              <w:t>responsibilities that lie with</w:t>
            </w:r>
          </w:p>
          <w:p w14:paraId="0BEBB58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the hospitals, including organising a gatekeeping assessment, deciding upon acceptance or rejection of the referral and identifying an available bed space.</w:t>
            </w:r>
            <w:bookmarkEnd w:id="0"/>
            <w:r w:rsidRPr="00C05B66">
              <w:rPr>
                <w:sz w:val="16"/>
                <w:szCs w:val="16"/>
              </w:rPr>
              <w:t xml:space="preserve"> To have the greatest impact on reducing transfer durations these components require attention.</w:t>
            </w:r>
          </w:p>
        </w:tc>
      </w:tr>
      <w:tr w:rsidR="001E1C92" w:rsidRPr="00C05B66" w14:paraId="2057850C" w14:textId="77777777" w:rsidTr="0059554D">
        <w:tc>
          <w:tcPr>
            <w:tcW w:w="1266" w:type="dxa"/>
          </w:tcPr>
          <w:p w14:paraId="6F414DA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lastRenderedPageBreak/>
              <w:t>Hopkin et al, 2016</w:t>
            </w:r>
          </w:p>
        </w:tc>
        <w:tc>
          <w:tcPr>
            <w:tcW w:w="1013" w:type="dxa"/>
          </w:tcPr>
          <w:p w14:paraId="374BED0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n=71</w:t>
            </w:r>
          </w:p>
          <w:p w14:paraId="76D13A1F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6" w:type="dxa"/>
          </w:tcPr>
          <w:p w14:paraId="53AFBEE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Male 100%</w:t>
            </w:r>
          </w:p>
        </w:tc>
        <w:tc>
          <w:tcPr>
            <w:tcW w:w="1659" w:type="dxa"/>
          </w:tcPr>
          <w:p w14:paraId="183AB54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Medium (n=34) </w:t>
            </w:r>
          </w:p>
          <w:p w14:paraId="1F48273A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PICU (n=15) </w:t>
            </w:r>
          </w:p>
          <w:p w14:paraId="2E15A0C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Acute/General (n=23) </w:t>
            </w:r>
          </w:p>
          <w:p w14:paraId="0EC5E1CA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Specialist (n=4)</w:t>
            </w:r>
          </w:p>
        </w:tc>
        <w:tc>
          <w:tcPr>
            <w:tcW w:w="1278" w:type="dxa"/>
          </w:tcPr>
          <w:p w14:paraId="5873C0A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26 x 48/49</w:t>
            </w:r>
          </w:p>
          <w:p w14:paraId="6BB277F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6 x 47/49</w:t>
            </w:r>
          </w:p>
          <w:p w14:paraId="38B152D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16 x 37 or 38</w:t>
            </w:r>
          </w:p>
          <w:p w14:paraId="05C4C62D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3 x 35 or 26</w:t>
            </w:r>
          </w:p>
          <w:p w14:paraId="68F3505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19 x 2</w:t>
            </w:r>
          </w:p>
          <w:p w14:paraId="595CEE1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1 x voluntary admission</w:t>
            </w:r>
          </w:p>
        </w:tc>
        <w:tc>
          <w:tcPr>
            <w:tcW w:w="1273" w:type="dxa"/>
          </w:tcPr>
          <w:p w14:paraId="5D26F12C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Jan 2011-Dec 2011 (1 year)</w:t>
            </w:r>
          </w:p>
        </w:tc>
        <w:tc>
          <w:tcPr>
            <w:tcW w:w="1829" w:type="dxa"/>
          </w:tcPr>
          <w:p w14:paraId="39FF18C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 = 62 (completed)</w:t>
            </w:r>
          </w:p>
          <w:p w14:paraId="0A65499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114</w:t>
            </w:r>
          </w:p>
          <w:p w14:paraId="6AC485B5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(Range 0-221)</w:t>
            </w:r>
          </w:p>
        </w:tc>
        <w:tc>
          <w:tcPr>
            <w:tcW w:w="3072" w:type="dxa"/>
          </w:tcPr>
          <w:p w14:paraId="104A73E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34% Under 3 months </w:t>
            </w:r>
          </w:p>
          <w:p w14:paraId="134C53A3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27% 3-6 months</w:t>
            </w:r>
          </w:p>
          <w:p w14:paraId="72313FF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27% over 6 months</w:t>
            </w:r>
          </w:p>
          <w:p w14:paraId="6670104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12% of transfers not completed </w:t>
            </w:r>
          </w:p>
        </w:tc>
        <w:tc>
          <w:tcPr>
            <w:tcW w:w="3079" w:type="dxa"/>
          </w:tcPr>
          <w:p w14:paraId="742DE92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Disagreements between clinicians prevented transfer in four cases, and a further five prisoners were released before transfer could be completed</w:t>
            </w:r>
          </w:p>
        </w:tc>
      </w:tr>
      <w:tr w:rsidR="001E1C92" w:rsidRPr="00C05B66" w14:paraId="597DFD5B" w14:textId="77777777" w:rsidTr="0059554D">
        <w:tc>
          <w:tcPr>
            <w:tcW w:w="1266" w:type="dxa"/>
          </w:tcPr>
          <w:p w14:paraId="5897D03C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Bartlett et al, 2012</w:t>
            </w:r>
          </w:p>
        </w:tc>
        <w:tc>
          <w:tcPr>
            <w:tcW w:w="1013" w:type="dxa"/>
          </w:tcPr>
          <w:p w14:paraId="531C7473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 = 86</w:t>
            </w:r>
          </w:p>
          <w:p w14:paraId="05AC33C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66" w:type="dxa"/>
          </w:tcPr>
          <w:p w14:paraId="3A4AFE2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Female 100%</w:t>
            </w:r>
          </w:p>
        </w:tc>
        <w:tc>
          <w:tcPr>
            <w:tcW w:w="1659" w:type="dxa"/>
          </w:tcPr>
          <w:p w14:paraId="6A052C74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A355E" wp14:editId="035E4FDD">
                      <wp:simplePos x="0" y="0"/>
                      <wp:positionH relativeFrom="column">
                        <wp:posOffset>341630</wp:posOffset>
                      </wp:positionH>
                      <wp:positionV relativeFrom="paragraph">
                        <wp:posOffset>38735</wp:posOffset>
                      </wp:positionV>
                      <wp:extent cx="45719" cy="57150"/>
                      <wp:effectExtent l="19050" t="38100" r="31115" b="57150"/>
                      <wp:wrapNone/>
                      <wp:docPr id="26" name="Star: 5 Point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571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8D32E3" id="Star: 5 Points 26" o:spid="_x0000_s1026" style="position:absolute;margin-left:26.9pt;margin-top:3.05pt;width:3.6pt;height: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19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" path="m,21829r17463,l22860,r5396,21829l45719,21829,31591,35320r5396,21830l22860,43658,8732,57150,14128,35320,,21829xe" fillcolor="#4472c4" strokecolor="#2f528f" strokeweight="1pt">
                      <v:stroke joinstyle="miter"/>
                      <v:path arrowok="t" o:connecttype="custom" o:connectlocs="0,21829;17463,21829;22860,0;28256,21829;45719,21829;31591,35320;36987,57150;22860,43658;8732,57150;14128,35320;0,21829" o:connectangles="0,0,0,0,0,0,0,0,0,0,0"/>
                    </v:shape>
                  </w:pict>
                </mc:Fallback>
              </mc:AlternateContent>
            </w:r>
            <w:r w:rsidRPr="00C05B66">
              <w:rPr>
                <w:sz w:val="16"/>
                <w:szCs w:val="16"/>
              </w:rPr>
              <w:t xml:space="preserve">WEMSS  </w:t>
            </w:r>
            <w:proofErr w:type="gramStart"/>
            <w:r w:rsidRPr="00C05B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 w:rsidRPr="00C05B66">
              <w:rPr>
                <w:sz w:val="16"/>
                <w:szCs w:val="16"/>
              </w:rPr>
              <w:t>(</w:t>
            </w:r>
            <w:proofErr w:type="gramEnd"/>
            <w:r w:rsidRPr="00C05B66">
              <w:rPr>
                <w:sz w:val="16"/>
                <w:szCs w:val="16"/>
              </w:rPr>
              <w:t>n=5)</w:t>
            </w:r>
          </w:p>
          <w:p w14:paraId="63875BD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Medium (n= 33) </w:t>
            </w:r>
          </w:p>
          <w:p w14:paraId="5ADC4BE8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Low (n=6) </w:t>
            </w:r>
          </w:p>
          <w:p w14:paraId="5058F193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PICU (n=38) </w:t>
            </w:r>
          </w:p>
          <w:p w14:paraId="7F387CA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Acute (n=4)</w:t>
            </w:r>
          </w:p>
        </w:tc>
        <w:tc>
          <w:tcPr>
            <w:tcW w:w="1278" w:type="dxa"/>
          </w:tcPr>
          <w:p w14:paraId="3511F95E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19 x 47/49</w:t>
            </w:r>
          </w:p>
          <w:p w14:paraId="0D984CB7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38 x 48/49</w:t>
            </w:r>
          </w:p>
          <w:p w14:paraId="26C3B97C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29 x 35, 37, 38</w:t>
            </w:r>
          </w:p>
        </w:tc>
        <w:tc>
          <w:tcPr>
            <w:tcW w:w="1273" w:type="dxa"/>
          </w:tcPr>
          <w:p w14:paraId="3DAF9BF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Jan 2008 - Oct 2010 (2 years 9 months)</w:t>
            </w:r>
          </w:p>
        </w:tc>
        <w:tc>
          <w:tcPr>
            <w:tcW w:w="1829" w:type="dxa"/>
          </w:tcPr>
          <w:p w14:paraId="14FE5AD9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 = 86</w:t>
            </w:r>
          </w:p>
          <w:p w14:paraId="7CEFF8B1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 xml:space="preserve">51 </w:t>
            </w:r>
          </w:p>
          <w:p w14:paraId="1D24918B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(Range 2–217)</w:t>
            </w:r>
          </w:p>
        </w:tc>
        <w:tc>
          <w:tcPr>
            <w:tcW w:w="3072" w:type="dxa"/>
          </w:tcPr>
          <w:p w14:paraId="1EF04310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n=11 (13%) of all transfers within 14 days</w:t>
            </w:r>
          </w:p>
          <w:p w14:paraId="02496DD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n=57 47/49 &amp; 48/49 transfers mean 55 days</w:t>
            </w:r>
          </w:p>
          <w:p w14:paraId="5606BCD2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r w:rsidRPr="00C05B66">
              <w:rPr>
                <w:sz w:val="16"/>
                <w:szCs w:val="16"/>
              </w:rPr>
              <w:t>n=29 35, 37 &amp; 38 transfers mean 43 days</w:t>
            </w:r>
          </w:p>
        </w:tc>
        <w:tc>
          <w:tcPr>
            <w:tcW w:w="3079" w:type="dxa"/>
          </w:tcPr>
          <w:p w14:paraId="5B86B296" w14:textId="77777777" w:rsidR="001E1C92" w:rsidRPr="00C05B66" w:rsidRDefault="001E1C92" w:rsidP="0059554D">
            <w:pPr>
              <w:jc w:val="both"/>
              <w:rPr>
                <w:sz w:val="16"/>
                <w:szCs w:val="16"/>
              </w:rPr>
            </w:pPr>
            <w:bookmarkStart w:id="1" w:name="_Hlk80965970"/>
            <w:r w:rsidRPr="00C05B66">
              <w:rPr>
                <w:sz w:val="16"/>
                <w:szCs w:val="16"/>
              </w:rPr>
              <w:t xml:space="preserve">Two hospital admissions were achieved using civil section 2 after release from court or after release </w:t>
            </w:r>
            <w:bookmarkEnd w:id="1"/>
            <w:r w:rsidRPr="00C05B66">
              <w:rPr>
                <w:sz w:val="16"/>
                <w:szCs w:val="16"/>
              </w:rPr>
              <w:t>from prison and these were the only transfers not completed from the sample</w:t>
            </w:r>
          </w:p>
        </w:tc>
      </w:tr>
    </w:tbl>
    <w:p w14:paraId="516D763B" w14:textId="77777777" w:rsidR="001E1C92" w:rsidRPr="009D7324" w:rsidRDefault="001E1C92" w:rsidP="001E1C92">
      <w:pPr>
        <w:jc w:val="both"/>
      </w:pPr>
      <w:r w:rsidRPr="009D7324">
        <w:t xml:space="preserve">* </w:t>
      </w:r>
      <w:proofErr w:type="spellStart"/>
      <w:r w:rsidRPr="009D7324">
        <w:t>Neeilan</w:t>
      </w:r>
      <w:proofErr w:type="spellEnd"/>
      <w:r w:rsidRPr="009D7324">
        <w:t xml:space="preserve"> &amp; O’Brien, 2017 is transfers back to prison from hospital</w:t>
      </w:r>
    </w:p>
    <w:p w14:paraId="6F5D9E08" w14:textId="77777777" w:rsidR="001E1C92" w:rsidRPr="009D7324" w:rsidRDefault="001E1C92" w:rsidP="001E1C92">
      <w:pPr>
        <w:jc w:val="both"/>
      </w:pPr>
      <w:r w:rsidRPr="009D732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A7660" wp14:editId="7C0C175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5719" cy="57150"/>
                <wp:effectExtent l="19050" t="38100" r="31115" b="57150"/>
                <wp:wrapNone/>
                <wp:docPr id="27" name="Star: 5 Point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715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E9C95" id="Star: 5 Points 27" o:spid="_x0000_s1026" style="position:absolute;margin-left:0;margin-top:2.95pt;width:3.6pt;height: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19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" path="m,21829r17463,l22860,r5396,21829l45719,21829,31591,35320r5396,21830l22860,43658,8732,57150,14128,35320,,21829xe" fillcolor="#4472c4" strokecolor="#2f528f" strokeweight="1pt">
                <v:stroke joinstyle="miter"/>
                <v:path arrowok="t" o:connecttype="custom" o:connectlocs="0,21829;17463,21829;22860,0;28256,21829;45719,21829;31591,35320;36987,57150;22860,43658;8732,57150;14128,35320;0,21829" o:connectangles="0,0,0,0,0,0,0,0,0,0,0"/>
              </v:shape>
            </w:pict>
          </mc:Fallback>
        </mc:AlternateContent>
      </w:r>
      <w:r w:rsidRPr="009D7324">
        <w:t xml:space="preserve">   WEMSS = Women's Enhanced Medium Secure Service</w:t>
      </w:r>
    </w:p>
    <w:p w14:paraId="7584889F" w14:textId="77777777" w:rsidR="001E1C92" w:rsidRPr="00037514" w:rsidRDefault="001E1C92" w:rsidP="001E1C92">
      <w:pPr>
        <w:jc w:val="both"/>
      </w:pPr>
    </w:p>
    <w:p w14:paraId="53A91FF7" w14:textId="10857321" w:rsidR="00C551DB" w:rsidRDefault="00C551DB"/>
    <w:p w14:paraId="6A9E77C7" w14:textId="5C65EF5F" w:rsidR="001E1C92" w:rsidRDefault="001E1C92"/>
    <w:p w14:paraId="4D9D06CC" w14:textId="1C1AA08B" w:rsidR="001E1C92" w:rsidRDefault="001E1C92"/>
    <w:p w14:paraId="448DC592" w14:textId="0DE13A0C" w:rsidR="001E1C92" w:rsidRDefault="001E1C92"/>
    <w:p w14:paraId="147CA731" w14:textId="0D26CB8F" w:rsidR="001E1C92" w:rsidRDefault="001E1C92"/>
    <w:p w14:paraId="245BEEBD" w14:textId="75E28E91" w:rsidR="001E1C92" w:rsidRDefault="001E1C92"/>
    <w:p w14:paraId="0F843C93" w14:textId="5F149C75" w:rsidR="001E1C92" w:rsidRDefault="001E1C92"/>
    <w:p w14:paraId="34C3122A" w14:textId="3A9CB10C" w:rsidR="001E1C92" w:rsidRDefault="001E1C92"/>
    <w:p w14:paraId="2840E065" w14:textId="2523027F" w:rsidR="001E1C92" w:rsidRDefault="001E1C92"/>
    <w:p w14:paraId="4B238F63" w14:textId="2E40AD38" w:rsidR="00897EE1" w:rsidRDefault="00897EE1"/>
    <w:p w14:paraId="02421889" w14:textId="3CB3F56B" w:rsidR="00897EE1" w:rsidRDefault="00897EE1"/>
    <w:p w14:paraId="5EDAE5CF" w14:textId="0EAF222D" w:rsidR="00897EE1" w:rsidRDefault="00897EE1"/>
    <w:p w14:paraId="6FBEC201" w14:textId="0425A045" w:rsidR="00897EE1" w:rsidRDefault="00897EE1"/>
    <w:p w14:paraId="32822CF1" w14:textId="4702E408" w:rsidR="00897EE1" w:rsidRDefault="00897EE1"/>
    <w:p w14:paraId="54F2CF83" w14:textId="020FAECF" w:rsidR="00897EE1" w:rsidRDefault="00897EE1"/>
    <w:p w14:paraId="6045D1CA" w14:textId="77777777" w:rsidR="00897EE1" w:rsidRPr="00897EE1" w:rsidRDefault="00897EE1" w:rsidP="00897EE1">
      <w:pPr>
        <w:rPr>
          <w:b/>
          <w:bCs/>
          <w:u w:val="single"/>
        </w:rPr>
      </w:pPr>
      <w:r w:rsidRPr="00897EE1">
        <w:rPr>
          <w:b/>
          <w:bCs/>
          <w:u w:val="single"/>
        </w:rPr>
        <w:lastRenderedPageBreak/>
        <w:t>Further pictures</w:t>
      </w:r>
    </w:p>
    <w:p w14:paraId="718E0BEB" w14:textId="77777777" w:rsidR="00897EE1" w:rsidRPr="00897EE1" w:rsidRDefault="00897EE1" w:rsidP="00897EE1">
      <w:pPr>
        <w:rPr>
          <w:u w:val="single"/>
        </w:rPr>
      </w:pPr>
      <w:r w:rsidRPr="00897EE1">
        <w:rPr>
          <w:u w:val="single"/>
        </w:rPr>
        <w:t xml:space="preserve">Proposed solitary confinement space in China </w:t>
      </w:r>
    </w:p>
    <w:p w14:paraId="716C38E5" w14:textId="77777777" w:rsidR="00897EE1" w:rsidRPr="00897EE1" w:rsidRDefault="00897EE1" w:rsidP="00897EE1">
      <w:pPr>
        <w:rPr>
          <w:b/>
          <w:bCs/>
          <w:u w:val="single"/>
        </w:rPr>
      </w:pPr>
      <w:r w:rsidRPr="00897EE1">
        <w:rPr>
          <w:noProof/>
        </w:rPr>
        <w:drawing>
          <wp:inline distT="0" distB="0" distL="0" distR="0" wp14:anchorId="69DB2071" wp14:editId="16788823">
            <wp:extent cx="9267108" cy="5695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6083" cy="5744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F9337" w14:textId="77777777" w:rsidR="00897EE1" w:rsidRPr="00897EE1" w:rsidRDefault="00897EE1" w:rsidP="00897EE1">
      <w:pPr>
        <w:rPr>
          <w:b/>
          <w:bCs/>
          <w:u w:val="single"/>
        </w:rPr>
      </w:pPr>
    </w:p>
    <w:p w14:paraId="394F7FB8" w14:textId="77777777" w:rsidR="00897EE1" w:rsidRPr="00897EE1" w:rsidRDefault="00897EE1" w:rsidP="00897EE1">
      <w:pPr>
        <w:rPr>
          <w:u w:val="single"/>
        </w:rPr>
      </w:pPr>
      <w:r w:rsidRPr="00897EE1">
        <w:rPr>
          <w:u w:val="single"/>
        </w:rPr>
        <w:lastRenderedPageBreak/>
        <w:t>Typical UK prison segregation unit</w:t>
      </w:r>
    </w:p>
    <w:p w14:paraId="39E38E69" w14:textId="77777777" w:rsidR="00897EE1" w:rsidRPr="00897EE1" w:rsidRDefault="00897EE1" w:rsidP="00897EE1">
      <w:pPr>
        <w:rPr>
          <w:b/>
          <w:bCs/>
          <w:u w:val="single"/>
        </w:rPr>
      </w:pPr>
      <w:r w:rsidRPr="00897EE1">
        <w:rPr>
          <w:b/>
          <w:bCs/>
          <w:noProof/>
          <w:u w:val="single"/>
        </w:rPr>
        <w:drawing>
          <wp:inline distT="0" distB="0" distL="0" distR="0" wp14:anchorId="290B6E93" wp14:editId="369DB84C">
            <wp:extent cx="9248775" cy="615675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5214" cy="6181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02F36" w14:textId="5DF4A9B8" w:rsidR="001E1C92" w:rsidRPr="009F696C" w:rsidRDefault="001E1C92">
      <w:pPr>
        <w:rPr>
          <w:b/>
          <w:bCs/>
          <w:u w:val="single"/>
        </w:rPr>
      </w:pPr>
      <w:r w:rsidRPr="009F696C">
        <w:rPr>
          <w:b/>
          <w:bCs/>
          <w:u w:val="single"/>
        </w:rPr>
        <w:lastRenderedPageBreak/>
        <w:t>References</w:t>
      </w:r>
    </w:p>
    <w:p w14:paraId="0E1FD881" w14:textId="76C18C79" w:rsidR="001E1C92" w:rsidRDefault="001E1C92"/>
    <w:p w14:paraId="7A370653" w14:textId="65AC7064" w:rsidR="001E1C92" w:rsidRDefault="001E1C92" w:rsidP="001E1C92">
      <w:pPr>
        <w:pStyle w:val="ListParagraph"/>
        <w:numPr>
          <w:ilvl w:val="0"/>
          <w:numId w:val="1"/>
        </w:numPr>
      </w:pPr>
      <w:r w:rsidRPr="001E1C92">
        <w:t xml:space="preserve">United Nations International Covenant on Civil and Political Rights, December 16, 1966, </w:t>
      </w:r>
      <w:hyperlink r:id="rId7" w:history="1">
        <w:r w:rsidRPr="00BE5BF0">
          <w:rPr>
            <w:rStyle w:val="Hyperlink"/>
          </w:rPr>
          <w:t>https://www.ohchr.org/en/instruments-mechanisms/instruments/international-covenant-civil-and-political-rights</w:t>
        </w:r>
      </w:hyperlink>
      <w:r>
        <w:t xml:space="preserve"> </w:t>
      </w:r>
    </w:p>
    <w:p w14:paraId="27899F2E" w14:textId="1D82212B" w:rsidR="001E1C92" w:rsidRDefault="001E1C92" w:rsidP="001E1C92">
      <w:pPr>
        <w:pStyle w:val="ListParagraph"/>
        <w:numPr>
          <w:ilvl w:val="0"/>
          <w:numId w:val="1"/>
        </w:numPr>
      </w:pPr>
      <w:r w:rsidRPr="001E1C92">
        <w:t xml:space="preserve">United Nations Convention against Torture and Other Cruel, Inhuman or Degrading Treatment or Punishment, December 10, 1984, </w:t>
      </w:r>
      <w:hyperlink r:id="rId8" w:history="1">
        <w:r w:rsidRPr="00BE5BF0">
          <w:rPr>
            <w:rStyle w:val="Hyperlink"/>
          </w:rPr>
          <w:t>https://www.ohchr.org/en/instruments-mechanisms/instruments/convention-against-torture-and-other-cruel-inhuman-or-degrading</w:t>
        </w:r>
      </w:hyperlink>
      <w:r>
        <w:t xml:space="preserve"> </w:t>
      </w:r>
    </w:p>
    <w:p w14:paraId="243F3CD9" w14:textId="1590E44F" w:rsidR="001E1C92" w:rsidRDefault="001E1C92" w:rsidP="001E1C92">
      <w:pPr>
        <w:pStyle w:val="ListParagraph"/>
        <w:numPr>
          <w:ilvl w:val="0"/>
          <w:numId w:val="1"/>
        </w:numPr>
      </w:pPr>
      <w:r w:rsidRPr="001E1C92">
        <w:t xml:space="preserve">United Nations Convention on the Rights of Persons with Disabilities, December 13, 2006, </w:t>
      </w:r>
      <w:hyperlink r:id="rId9" w:history="1">
        <w:r w:rsidRPr="00BE5BF0">
          <w:rPr>
            <w:rStyle w:val="Hyperlink"/>
          </w:rPr>
          <w:t>https://www.ohchr.org/en/instruments-mechanisms/instruments/convention-rights-persons-disabilities</w:t>
        </w:r>
      </w:hyperlink>
      <w:r>
        <w:t xml:space="preserve"> </w:t>
      </w:r>
    </w:p>
    <w:p w14:paraId="72936238" w14:textId="01796648" w:rsidR="001E1C92" w:rsidRDefault="001E1C92" w:rsidP="001E1C92">
      <w:pPr>
        <w:pStyle w:val="ListParagraph"/>
        <w:numPr>
          <w:ilvl w:val="0"/>
          <w:numId w:val="1"/>
        </w:numPr>
      </w:pPr>
      <w:r w:rsidRPr="001E1C92">
        <w:t xml:space="preserve">United Nations Office on Drugs and Crime. (2015). The United Nations Standard Minimum Rules for the Treatment of Prisoners (the Nelson Mandela Rules). Retrieved from </w:t>
      </w:r>
      <w:hyperlink r:id="rId10" w:history="1">
        <w:r w:rsidRPr="00BE5BF0">
          <w:rPr>
            <w:rStyle w:val="Hyperlink"/>
          </w:rPr>
          <w:t>https://www.unodc.org/documents/justice-and-prison-reform/Nelson_Mandela_Rules-E-ebook.pdf</w:t>
        </w:r>
      </w:hyperlink>
      <w:r>
        <w:t xml:space="preserve"> </w:t>
      </w:r>
    </w:p>
    <w:p w14:paraId="295593F3" w14:textId="0E1F60BA" w:rsidR="001E1C92" w:rsidRDefault="008D65AA" w:rsidP="001E1C92">
      <w:pPr>
        <w:pStyle w:val="ListParagraph"/>
        <w:numPr>
          <w:ilvl w:val="0"/>
          <w:numId w:val="1"/>
        </w:numPr>
      </w:pPr>
      <w:r w:rsidRPr="008D65AA">
        <w:t xml:space="preserve">Woods, L., </w:t>
      </w:r>
      <w:proofErr w:type="spellStart"/>
      <w:r w:rsidRPr="008D65AA">
        <w:t>Craster</w:t>
      </w:r>
      <w:proofErr w:type="spellEnd"/>
      <w:r w:rsidRPr="008D65AA">
        <w:t>, L., &amp; Forrester, A. (2020). Mental Health Act transfers from prison to psychiatric hospital over a six-year period in a region of England. Journal of Criminal Psychology.</w:t>
      </w:r>
      <w:r>
        <w:t xml:space="preserve"> </w:t>
      </w:r>
    </w:p>
    <w:p w14:paraId="64CE6D46" w14:textId="79EBFDDE" w:rsidR="008D65AA" w:rsidRDefault="00790F36" w:rsidP="001E1C92">
      <w:pPr>
        <w:pStyle w:val="ListParagraph"/>
        <w:numPr>
          <w:ilvl w:val="0"/>
          <w:numId w:val="1"/>
        </w:numPr>
      </w:pPr>
      <w:r w:rsidRPr="00790F36">
        <w:t>Sharpe, R., Völlm, B., Akhtar, A., Puri, R., &amp; Bickle, A. (2016). Transfers from prison to hospital under Sections 47 and 48 of the Mental Health Act between 2011 and 2014. The Journal of Forensic Psychiatry &amp; Psychology, 27(4), 459-475.</w:t>
      </w:r>
    </w:p>
    <w:p w14:paraId="6D771B57" w14:textId="51589804" w:rsidR="00790F36" w:rsidRDefault="0069672A" w:rsidP="001E1C92">
      <w:pPr>
        <w:pStyle w:val="ListParagraph"/>
        <w:numPr>
          <w:ilvl w:val="0"/>
          <w:numId w:val="1"/>
        </w:numPr>
      </w:pPr>
      <w:proofErr w:type="spellStart"/>
      <w:r w:rsidRPr="0069672A">
        <w:t>Okudo</w:t>
      </w:r>
      <w:proofErr w:type="spellEnd"/>
      <w:r w:rsidRPr="0069672A">
        <w:t>, U. (2020). Transfers of remand and sentenced prisoners to hospital under the mental health (Care and Treatment) (Scotland) Act 2003. The Journal of Forensic Psychiatry &amp; Psychology, 31(6), 1002-1019</w:t>
      </w:r>
    </w:p>
    <w:p w14:paraId="4ECCC48B" w14:textId="5019E2CF" w:rsidR="0069672A" w:rsidRDefault="00CC1009" w:rsidP="001E1C92">
      <w:pPr>
        <w:pStyle w:val="ListParagraph"/>
        <w:numPr>
          <w:ilvl w:val="0"/>
          <w:numId w:val="1"/>
        </w:numPr>
      </w:pPr>
      <w:r w:rsidRPr="00CC1009">
        <w:t>Bartlett, A., Somers, N., Reeves, C., &amp; White, S. (2012). Women prisoners: an analysis of the process of hospital transfers. Journal of Forensic Psychiatry &amp; Psychology, 23(4), 538-553.</w:t>
      </w:r>
      <w:r>
        <w:t xml:space="preserve"> </w:t>
      </w:r>
    </w:p>
    <w:p w14:paraId="0C1EF931" w14:textId="59BF7FDE" w:rsidR="00CC1009" w:rsidRDefault="00CC1009" w:rsidP="001E1C92">
      <w:pPr>
        <w:pStyle w:val="ListParagraph"/>
        <w:numPr>
          <w:ilvl w:val="0"/>
          <w:numId w:val="1"/>
        </w:numPr>
      </w:pPr>
      <w:r w:rsidRPr="00CC1009">
        <w:t xml:space="preserve">Carroll, A., Ellis, A., </w:t>
      </w:r>
      <w:proofErr w:type="spellStart"/>
      <w:r w:rsidRPr="00CC1009">
        <w:t>Aboud</w:t>
      </w:r>
      <w:proofErr w:type="spellEnd"/>
      <w:r w:rsidRPr="00CC1009">
        <w:t>, A., Scott, R., &amp; Pillai, K. (2021). No involuntary treatment of mental illness in Australian and New Zealand prisons. The Journal of Forensic Psychiatry &amp; Psychology, 32(1), 1-28.</w:t>
      </w:r>
    </w:p>
    <w:p w14:paraId="2299606F" w14:textId="247CFD0C" w:rsidR="00CC1009" w:rsidRDefault="00CC1009" w:rsidP="001E1C92">
      <w:pPr>
        <w:pStyle w:val="ListParagraph"/>
        <w:numPr>
          <w:ilvl w:val="0"/>
          <w:numId w:val="1"/>
        </w:numPr>
      </w:pPr>
      <w:proofErr w:type="spellStart"/>
      <w:r w:rsidRPr="00CC1009">
        <w:t>Skipworth</w:t>
      </w:r>
      <w:proofErr w:type="spellEnd"/>
      <w:r w:rsidRPr="00CC1009">
        <w:t>, J., Bevin, W., McKenna, B., Simpson, A. I., Brinded, P., &amp; Pearson, J. (2019). Comparative outcomes for a national cohort of persons convicted of murder, with and without serious mental illness, and those found not guilty by reason of insanity on a murder charge: A 25‐year follow‐up study. Criminal behaviour and mental health, 29(5-6), 276-285.</w:t>
      </w:r>
    </w:p>
    <w:p w14:paraId="6A0478A5" w14:textId="00C367A9" w:rsidR="00CC1009" w:rsidRDefault="00CC1009" w:rsidP="001E1C92">
      <w:pPr>
        <w:pStyle w:val="ListParagraph"/>
        <w:numPr>
          <w:ilvl w:val="0"/>
          <w:numId w:val="1"/>
        </w:numPr>
      </w:pPr>
      <w:r w:rsidRPr="00CC1009">
        <w:t xml:space="preserve">Bone, T. A., &amp; Roberts, M. (2019). An investigation into the routes to inpatient care at the </w:t>
      </w:r>
      <w:proofErr w:type="spellStart"/>
      <w:r w:rsidRPr="00CC1009">
        <w:t>Pantang</w:t>
      </w:r>
      <w:proofErr w:type="spellEnd"/>
      <w:r w:rsidRPr="00CC1009">
        <w:t xml:space="preserve"> Hospital in Ghana via the criminal justice system. Ghana medical journal, 53(2), 100-108.</w:t>
      </w:r>
    </w:p>
    <w:p w14:paraId="636C7EFB" w14:textId="37A87B17" w:rsidR="00CC1009" w:rsidRDefault="00651418" w:rsidP="001E1C92">
      <w:pPr>
        <w:pStyle w:val="ListParagraph"/>
        <w:numPr>
          <w:ilvl w:val="0"/>
          <w:numId w:val="1"/>
        </w:numPr>
      </w:pPr>
      <w:r w:rsidRPr="00651418">
        <w:t>Bradley (2009) The Bradley Report: Lord Bradley’s Review of People with Mental Health Problems or Learning Disabilities in the Criminal Justice System. The Stationery Office, London.</w:t>
      </w:r>
      <w:r>
        <w:t xml:space="preserve"> </w:t>
      </w:r>
    </w:p>
    <w:p w14:paraId="5586E6D0" w14:textId="54003F74" w:rsidR="00A735A0" w:rsidRDefault="00A735A0" w:rsidP="001E1C92">
      <w:pPr>
        <w:pStyle w:val="ListParagraph"/>
        <w:numPr>
          <w:ilvl w:val="0"/>
          <w:numId w:val="1"/>
        </w:numPr>
      </w:pPr>
      <w:r w:rsidRPr="00A735A0">
        <w:t xml:space="preserve">Hopkin, G., </w:t>
      </w:r>
      <w:proofErr w:type="spellStart"/>
      <w:r w:rsidRPr="00A735A0">
        <w:t>Samele</w:t>
      </w:r>
      <w:proofErr w:type="spellEnd"/>
      <w:r w:rsidRPr="00A735A0">
        <w:t>, C., Singh, K., &amp; Forrester, A. (2016). Transferring London’s acutely mentally ill prisoners to hospital. Criminal Behaviour and Mental Health, 26, 76.</w:t>
      </w:r>
      <w:r>
        <w:t xml:space="preserve"> </w:t>
      </w:r>
    </w:p>
    <w:p w14:paraId="6CC80237" w14:textId="39EF9568" w:rsidR="009F696C" w:rsidRPr="009F696C" w:rsidRDefault="009F696C" w:rsidP="00897EE1">
      <w:pPr>
        <w:rPr>
          <w:b/>
          <w:bCs/>
          <w:u w:val="single"/>
        </w:rPr>
      </w:pPr>
    </w:p>
    <w:sectPr w:rsidR="009F696C" w:rsidRPr="009F696C" w:rsidSect="00466C0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04A21"/>
    <w:multiLevelType w:val="hybridMultilevel"/>
    <w:tmpl w:val="47167D84"/>
    <w:lvl w:ilvl="0" w:tplc="891EA73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C92"/>
    <w:rsid w:val="000D0551"/>
    <w:rsid w:val="001E1C92"/>
    <w:rsid w:val="00651418"/>
    <w:rsid w:val="0069672A"/>
    <w:rsid w:val="00790F36"/>
    <w:rsid w:val="00897EE1"/>
    <w:rsid w:val="008D65AA"/>
    <w:rsid w:val="009F696C"/>
    <w:rsid w:val="00A735A0"/>
    <w:rsid w:val="00BB7C77"/>
    <w:rsid w:val="00C21237"/>
    <w:rsid w:val="00C551DB"/>
    <w:rsid w:val="00CC1009"/>
    <w:rsid w:val="00F1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2ABDC"/>
  <w15:chartTrackingRefBased/>
  <w15:docId w15:val="{EF38CB89-073A-45CA-84F2-C9219484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1C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1C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E1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hchr.org/en/instruments-mechanisms/instruments/convention-against-torture-and-other-cruel-inhuman-or-degrad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hchr.org/en/instruments-mechanisms/instruments/international-covenant-civil-and-political-righ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unodc.org/documents/justice-and-prison-reform/Nelson_Mandela_Rules-E-eboo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hchr.org/en/instruments-mechanisms/instruments/convention-rights-persons-disabilit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1202</Words>
  <Characters>6857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Sales</dc:creator>
  <cp:keywords/>
  <dc:description/>
  <cp:lastModifiedBy>Jo Higman</cp:lastModifiedBy>
  <cp:revision>2</cp:revision>
  <dcterms:created xsi:type="dcterms:W3CDTF">2022-11-14T09:14:00Z</dcterms:created>
  <dcterms:modified xsi:type="dcterms:W3CDTF">2022-11-14T09:14:00Z</dcterms:modified>
</cp:coreProperties>
</file>